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6663"/>
        </w:tabs>
        <w:spacing w:line="240" w:lineRule="auto"/>
        <w:jc w:val="right"/>
        <w:rPr>
          <w:rFonts w:ascii="Proxima Nova" w:cs="Proxima Nova" w:eastAsia="Proxima Nova" w:hAnsi="Proxima Nova"/>
          <w:sz w:val="2"/>
          <w:szCs w:val="2"/>
        </w:rPr>
      </w:pPr>
      <w:r w:rsidDel="00000000" w:rsidR="00000000" w:rsidRPr="00000000">
        <w:rPr>
          <w:rFonts w:ascii="Proxima Nova" w:cs="Proxima Nova" w:eastAsia="Proxima Nova" w:hAnsi="Proxima Nova"/>
          <w:sz w:val="2"/>
          <w:szCs w:val="2"/>
          <w:rtl w:val="0"/>
        </w:rPr>
        <w:t xml:space="preserve">handel</w:t>
      </w:r>
    </w:p>
    <w:p w:rsidR="00000000" w:rsidDel="00000000" w:rsidP="00000000" w:rsidRDefault="00000000" w:rsidRPr="00000000" w14:paraId="00000003">
      <w:pPr>
        <w:tabs>
          <w:tab w:val="left" w:pos="6663"/>
        </w:tabs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22 kwietnia 2022 r.</w:t>
      </w:r>
    </w:p>
    <w:p w:rsidR="00000000" w:rsidDel="00000000" w:rsidP="00000000" w:rsidRDefault="00000000" w:rsidRPr="00000000" w14:paraId="00000004">
      <w:pPr>
        <w:jc w:val="center"/>
        <w:rPr>
          <w:rFonts w:ascii="Proxima Nova" w:cs="Proxima Nova" w:eastAsia="Proxima Nova" w:hAnsi="Proxima Nova"/>
          <w:b w:val="1"/>
          <w:color w:val="005596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5596"/>
          <w:sz w:val="28"/>
          <w:szCs w:val="28"/>
          <w:rtl w:val="0"/>
        </w:rPr>
        <w:t xml:space="preserve">Oddziały LKQ w Europie Środkowo-Wschodniej wyłączają oznaczenia świetlne w Dniu Ziemi</w:t>
      </w:r>
    </w:p>
    <w:p w:rsidR="00000000" w:rsidDel="00000000" w:rsidP="00000000" w:rsidRDefault="00000000" w:rsidRPr="00000000" w14:paraId="00000005">
      <w:pPr>
        <w:jc w:val="center"/>
        <w:rPr>
          <w:rFonts w:ascii="Proxima Nova" w:cs="Proxima Nova" w:eastAsia="Proxima Nova" w:hAnsi="Proxima Nova"/>
          <w:i w:val="1"/>
          <w:color w:val="000000"/>
        </w:rPr>
      </w:pPr>
      <w:r w:rsidDel="00000000" w:rsidR="00000000" w:rsidRPr="00000000">
        <w:rPr>
          <w:rFonts w:ascii="Proxima Nova" w:cs="Proxima Nova" w:eastAsia="Proxima Nova" w:hAnsi="Proxima Nova"/>
          <w:i w:val="1"/>
          <w:color w:val="000000"/>
          <w:rtl w:val="0"/>
        </w:rPr>
        <w:t xml:space="preserve">Oddziały LKQ w Europie Środkowo-Wschodniej w tym ELIT Polska podjęły decyzję, aby wyłączyć oznaczenia świetlne w prawie 300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placówkach</w:t>
      </w:r>
      <w:r w:rsidDel="00000000" w:rsidR="00000000" w:rsidRPr="00000000">
        <w:rPr>
          <w:rFonts w:ascii="Proxima Nova" w:cs="Proxima Nova" w:eastAsia="Proxima Nova" w:hAnsi="Proxima Nova"/>
          <w:i w:val="1"/>
          <w:color w:val="000000"/>
          <w:rtl w:val="0"/>
        </w:rPr>
        <w:t xml:space="preserve"> w siedmiu krajach w okresie od 21 do 25 kwietnia.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W ten sposób LKQ</w:t>
      </w:r>
      <w:r w:rsidDel="00000000" w:rsidR="00000000" w:rsidRPr="00000000">
        <w:rPr>
          <w:rFonts w:ascii="Proxima Nova" w:cs="Proxima Nova" w:eastAsia="Proxima Nova" w:hAnsi="Proxima Nova"/>
          <w:i w:val="1"/>
          <w:color w:val="000000"/>
          <w:rtl w:val="0"/>
        </w:rPr>
        <w:t xml:space="preserve"> chce publicznie przyłączyć się do obchodów Dnia Ziemi i jednocześnie zredukować oraz zwrócić uwagę na zużycie energii.</w:t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  <w:color w:val="00000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rtl w:val="0"/>
        </w:rPr>
        <w:t xml:space="preserve">Praga, Czechy.</w:t>
      </w: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 Aby świętować Dzień Ziemi, organizacja LKQ CEE zdecydowała się wyłączyć światło w swoich oddziałach, tj. podświetlenia logotypów i bannerów reklamowych w całym regionie Europy Środkowo-Wschodniej. W ten sposób firma chce zademonstrować swoje podejście do zrównoważonego rozwoju i odpowiedzialnej gospodarki energetycznej. Prawie 300 oddziałów z siedmiu krajów będzie brało udział w projekcie </w:t>
      </w:r>
      <w:r w:rsidDel="00000000" w:rsidR="00000000" w:rsidRPr="00000000">
        <w:rPr>
          <w:rFonts w:ascii="Symbol" w:cs="Symbol" w:eastAsia="Symbol" w:hAnsi="Symbol"/>
          <w:color w:val="000000"/>
          <w:rtl w:val="0"/>
        </w:rPr>
        <w:t xml:space="preserve">−</w:t>
      </w: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 Czechy,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Słowacja, Węgry, Rumunia, Słowenia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</w:t>
      </w: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 Bośnia i Hercegowina oraz oddział ELIT Polska. Z oczywistych względów, żaden ukraiński oddział nie będzie zaangażowany w ten projekt. </w:t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Andras Lorincz, Dyrektor Generalny LKQ na Europę Środkową i Wschodnią, wyjaśniając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tę</w:t>
      </w: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 inicjatywę powiedział: </w:t>
      </w:r>
      <w:r w:rsidDel="00000000" w:rsidR="00000000" w:rsidRPr="00000000">
        <w:rPr>
          <w:rFonts w:ascii="Proxima Nova" w:cs="Proxima Nova" w:eastAsia="Proxima Nova" w:hAnsi="Proxima Nova"/>
          <w:i w:val="1"/>
          <w:color w:val="000000"/>
          <w:rtl w:val="0"/>
        </w:rPr>
        <w:t xml:space="preserve">„W LKQ poważnie podchodzimy do zrównoważonego rozwoju i dlatego chcemy również zademonstrować to poprzez przemyślane korzystanie z energii. Wyłączenie logotypów i bannerów reklamowych na fasadach naszych oddziałów jest widocznym sygnałem, że razem z innymi firmami na świecie chcemy publicznie wspierać Dzień Ziemi oraz zachęcać do zrównoważonego zachowania nas wszystkich. Pragniemy także pokazać w praktyce jak oszczędzać energię.”</w:t>
      </w: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 W ramach projektu, firma również planuje oszacować łączne oszczędności w wyniku wyłączenia świateł w danym regionie i opublikować wyniki 26 kwietnia.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LKQ promuje stosowanie dostępnych technologii w celu zmniejszenia emisji CO</w:t>
      </w:r>
      <w:r w:rsidDel="00000000" w:rsidR="00000000" w:rsidRPr="00000000">
        <w:rPr>
          <w:rFonts w:ascii="Proxima Nova" w:cs="Proxima Nova" w:eastAsia="Proxima Nova" w:hAnsi="Proxima Nova"/>
          <w:vertAlign w:val="subscript"/>
          <w:rtl w:val="0"/>
        </w:rPr>
        <w:t xml:space="preserve">2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zapewnia zrównoważony rozwój łańcuchów dostaw, wspiera bezpieczeństwo i ochronę zdrowia ludzi oraz koncentruje się na odpowiedzialności społecznej. </w:t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Dzień Ziemi to coroczne globalne wydarzenie organizowane 22 kwietnia w celu promowania i wspierania ochrony środowiska naturalnego. Po raz pierwszy odbył się w 1970 r. i obecnie jest obchodzony corocznie w ponad 193 krajach.</w:t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  <w:b w:val="1"/>
          <w:color w:val="005596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5596"/>
          <w:sz w:val="24"/>
          <w:szCs w:val="24"/>
          <w:rtl w:val="0"/>
        </w:rPr>
        <w:t xml:space="preserve">O LKQ w Europie Środkowo-Wschodniej</w:t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 regionie Europy Środkowo-Wschodniej (CEE), LKQ działa w ośmiu krajach: w Bośni i Hercegowinie, Czechach, na Węgrzech, w Polsce, Rumuni, na Słowacji, w Słowenii oraz Ukrainie. Firma funkcjonuje pod kilkoma markami w tym regionie - Auto Kelly, ELIT, Stahlgruber, Láng oraz Simimpex. Wszystkie te marki zostały zintegrowane w grupę LKQ Europe w 2016 r.</w:t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Spółka LKQ zapewnia około 35,000 warsztatów w regionie CEE oraz obsługuje około 571,000 klientów B2B i B2C. Firma ta obsługuje najnowocześniejszą platformę szkoleniową w regionie w ramach Akademii LKQ w Pradze i innych miastach, która oferuje specjalistyczne szkolenia obejmujące kompleksową ochronę i naprawę pojazdów, w tym odpowiednie zarządzanie warsztatami. Posiada także najnowocześniejsze centrum innowacji i obsługi w Katowicach, w Polsce, które stanowi katalizator dla strategii innowacji oraz cyfryzacji firmy.</w:t>
      </w:r>
    </w:p>
    <w:p w:rsidR="00000000" w:rsidDel="00000000" w:rsidP="00000000" w:rsidRDefault="00000000" w:rsidRPr="00000000" w14:paraId="0000000E">
      <w:pPr>
        <w:spacing w:after="0" w:lineRule="auto"/>
        <w:rPr>
          <w:rFonts w:ascii="Proxima Nova" w:cs="Proxima Nova" w:eastAsia="Proxima Nova" w:hAnsi="Proxima Nova"/>
          <w:b w:val="1"/>
          <w:color w:val="005596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Proxima Nova" w:cs="Proxima Nova" w:eastAsia="Proxima Nova" w:hAnsi="Proxima Nova"/>
          <w:b w:val="1"/>
          <w:color w:val="005596"/>
          <w:sz w:val="24"/>
          <w:szCs w:val="24"/>
          <w:rtl w:val="0"/>
        </w:rPr>
        <w:t xml:space="preserve">O LKQ Europe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Proxima Nova" w:cs="Proxima Nova" w:eastAsia="Proxima Nova" w:hAnsi="Proxima Nova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color w:val="212b35"/>
          <w:sz w:val="21"/>
          <w:szCs w:val="21"/>
          <w:highlight w:val="white"/>
          <w:rtl w:val="0"/>
        </w:rPr>
        <w:t xml:space="preserve">ELIT Polska jest częścią LKQ Europe, spółki zależnej LKQ Corporation, wiodącego dystrybutora części zamiennych do samochodów osobowych, dostawczych i pojazdów przemysłowych w Europie. </w:t>
      </w: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Obecnie zatrudnia około 26,000 osób z siecią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ponad 1,000 oddziałów i około 6,1 miliarda dolarów przychodu w 2021 roku. </w:t>
      </w: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Organizacja zaopatruje ponad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100,000 </w:t>
      </w: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niezależnych warsztatów w ponad 20 krajach europejskich.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grupy należą Euro Car Parts, LKQ Fource, RHIAG Group, Elit i STAHLGRUBER Group, a także specjalista od recyklingu, Atracco. LKQ posiada również mniejszościowe udziały w Grupie Mekonomen.</w:t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40" w:lineRule="auto"/>
        <w:rPr>
          <w:rFonts w:ascii="Proxima Nova" w:cs="Proxima Nova" w:eastAsia="Proxima Nova" w:hAnsi="Proxima Nova"/>
          <w:b w:val="1"/>
          <w:color w:val="00559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5596"/>
          <w:sz w:val="24"/>
          <w:szCs w:val="24"/>
          <w:rtl w:val="0"/>
        </w:rPr>
        <w:t xml:space="preserve">Osoba do kontaktu z mediami w ramach regionu Europy Środkowo-Wschodniej (CEE)</w:t>
      </w:r>
      <w:r w:rsidDel="00000000" w:rsidR="00000000" w:rsidRPr="00000000">
        <w:rPr>
          <w:rFonts w:ascii="Proxima Nova" w:cs="Proxima Nova" w:eastAsia="Proxima Nova" w:hAnsi="Proxima Nova"/>
          <w:color w:val="005596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Proxima Nova" w:cs="Proxima Nova" w:eastAsia="Proxima Nova" w:hAnsi="Proxima Nova"/>
          <w:color w:val="000000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Ján Kondáš</w:t>
        <w:tab/>
        <w:tab/>
        <w:tab/>
        <w:tab/>
        <w:tab/>
      </w:r>
    </w:p>
    <w:p w:rsidR="00000000" w:rsidDel="00000000" w:rsidP="00000000" w:rsidRDefault="00000000" w:rsidRPr="00000000" w14:paraId="00000014">
      <w:pPr>
        <w:spacing w:after="0" w:lineRule="auto"/>
        <w:rPr>
          <w:rFonts w:ascii="Proxima Nova" w:cs="Proxima Nova" w:eastAsia="Proxima Nova" w:hAnsi="Proxima Nova"/>
          <w:color w:val="000000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Dyrektor ds. komunikacji korporacyjnej na rejon Europy Środkowo-Wschodniej LKQ</w:t>
        <w:tab/>
        <w:tab/>
      </w:r>
    </w:p>
    <w:p w:rsidR="00000000" w:rsidDel="00000000" w:rsidP="00000000" w:rsidRDefault="00000000" w:rsidRPr="00000000" w14:paraId="00000015">
      <w:pPr>
        <w:spacing w:after="0" w:lineRule="auto"/>
        <w:rPr>
          <w:rFonts w:ascii="Proxima Nova" w:cs="Proxima Nova" w:eastAsia="Proxima Nova" w:hAnsi="Proxima Nova"/>
          <w:color w:val="000000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LKQ CZ s.r.o.</w:t>
      </w:r>
    </w:p>
    <w:p w:rsidR="00000000" w:rsidDel="00000000" w:rsidP="00000000" w:rsidRDefault="00000000" w:rsidRPr="00000000" w14:paraId="00000016">
      <w:pPr>
        <w:spacing w:after="0" w:lineRule="auto"/>
        <w:rPr>
          <w:rFonts w:ascii="Proxima Nova" w:cs="Proxima Nova" w:eastAsia="Proxima Nova" w:hAnsi="Proxima Nova"/>
          <w:color w:val="000000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Ocelářská 16 </w:t>
      </w:r>
    </w:p>
    <w:p w:rsidR="00000000" w:rsidDel="00000000" w:rsidP="00000000" w:rsidRDefault="00000000" w:rsidRPr="00000000" w14:paraId="00000017">
      <w:pPr>
        <w:spacing w:after="0" w:lineRule="auto"/>
        <w:rPr>
          <w:rFonts w:ascii="Proxima Nova" w:cs="Proxima Nova" w:eastAsia="Proxima Nova" w:hAnsi="Proxima Nova"/>
          <w:color w:val="000000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190 00 Praha 9</w:t>
      </w:r>
    </w:p>
    <w:p w:rsidR="00000000" w:rsidDel="00000000" w:rsidP="00000000" w:rsidRDefault="00000000" w:rsidRPr="00000000" w14:paraId="00000018">
      <w:pPr>
        <w:spacing w:after="0" w:lineRule="auto"/>
        <w:rPr>
          <w:rFonts w:ascii="Proxima Nova" w:cs="Proxima Nova" w:eastAsia="Proxima Nova" w:hAnsi="Proxima Nova"/>
          <w:color w:val="000000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Czechy</w:t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spacing w:after="0" w:lineRule="auto"/>
        <w:rPr>
          <w:rFonts w:ascii="Proxima Nova" w:cs="Proxima Nova" w:eastAsia="Proxima Nova" w:hAnsi="Proxima Nova"/>
          <w:color w:val="00000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rtl w:val="0"/>
        </w:rPr>
        <w:t xml:space="preserve">T </w:t>
      </w: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+420 720 934 966</w:t>
        <w:tab/>
        <w:tab/>
        <w:tab/>
        <w:tab/>
        <w:tab/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rtl w:val="0"/>
        </w:rPr>
        <w:t xml:space="preserve">E</w:t>
      </w:r>
      <w:r w:rsidDel="00000000" w:rsidR="00000000" w:rsidRPr="00000000">
        <w:rPr>
          <w:rFonts w:ascii="Proxima Nova" w:cs="Proxima Nova" w:eastAsia="Proxima Nova" w:hAnsi="Proxima Nova"/>
          <w:color w:val="000000"/>
          <w:rtl w:val="0"/>
        </w:rPr>
        <w:t xml:space="preserve"> jan.kondas@lkq.cz</w:t>
        <w:tab/>
      </w:r>
      <w:r w:rsidDel="00000000" w:rsidR="00000000" w:rsidRPr="00000000">
        <w:rPr>
          <w:rFonts w:ascii="Proxima Nova" w:cs="Proxima Nova" w:eastAsia="Proxima Nova" w:hAnsi="Proxima Nova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240" w:lineRule="auto"/>
        <w:rPr>
          <w:rFonts w:ascii="Proxima Nova" w:cs="Proxima Nova" w:eastAsia="Proxima Nova" w:hAnsi="Proxima Nova"/>
          <w:b w:val="1"/>
          <w:color w:val="0055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240" w:lineRule="auto"/>
        <w:rPr>
          <w:rFonts w:ascii="Proxima Nova" w:cs="Proxima Nova" w:eastAsia="Proxima Nova" w:hAnsi="Proxima Nova"/>
          <w:b w:val="1"/>
          <w:color w:val="005596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5596"/>
          <w:sz w:val="24"/>
          <w:szCs w:val="24"/>
          <w:highlight w:val="yellow"/>
          <w:rtl w:val="0"/>
        </w:rPr>
        <w:t xml:space="preserve">Osoba do kontaktu z mediami w Czechach</w:t>
      </w:r>
      <w:r w:rsidDel="00000000" w:rsidR="00000000" w:rsidRPr="00000000">
        <w:rPr>
          <w:rFonts w:ascii="Proxima Nova" w:cs="Proxima Nova" w:eastAsia="Proxima Nova" w:hAnsi="Proxima Nova"/>
          <w:color w:val="005596"/>
          <w:sz w:val="24"/>
          <w:szCs w:val="24"/>
          <w:highlight w:val="yellow"/>
          <w:rtl w:val="0"/>
        </w:rPr>
        <w:tab/>
      </w:r>
      <w:r w:rsidDel="00000000" w:rsidR="00000000" w:rsidRPr="00000000">
        <w:rPr>
          <w:rFonts w:ascii="Proxima Nova" w:cs="Proxima Nova" w:eastAsia="Proxima Nova" w:hAnsi="Proxima Nova"/>
          <w:color w:val="005596"/>
          <w:highlight w:val="yellow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Proxima Nova" w:cs="Proxima Nova" w:eastAsia="Proxima Nova" w:hAnsi="Proxima Nova"/>
          <w:color w:val="000000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highlight w:val="yellow"/>
          <w:rtl w:val="0"/>
        </w:rPr>
        <w:t xml:space="preserve">Ivan Dzido</w:t>
        <w:tab/>
        <w:tab/>
        <w:tab/>
        <w:tab/>
        <w:tab/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Proxima Nova" w:cs="Proxima Nova" w:eastAsia="Proxima Nova" w:hAnsi="Proxima Nova"/>
          <w:color w:val="000000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highlight w:val="yellow"/>
          <w:rtl w:val="0"/>
        </w:rPr>
        <w:t xml:space="preserve">Kierownik ds. komunikacji zewnętrznej LKQ CZ/CEE</w:t>
        <w:tab/>
        <w:tab/>
        <w:tab/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Proxima Nova" w:cs="Proxima Nova" w:eastAsia="Proxima Nova" w:hAnsi="Proxima Nova"/>
          <w:color w:val="000000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color w:val="000000"/>
          <w:highlight w:val="yellow"/>
          <w:rtl w:val="0"/>
        </w:rPr>
        <w:t xml:space="preserve">LKQ CZ s.r.o.</w:t>
        <w:tab/>
        <w:tab/>
        <w:tab/>
        <w:tab/>
        <w:tab/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Proxima Nova" w:cs="Proxima Nova" w:eastAsia="Proxima Nova" w:hAnsi="Proxima Nova"/>
          <w:color w:val="000000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highlight w:val="yellow"/>
          <w:rtl w:val="0"/>
        </w:rPr>
        <w:t xml:space="preserve">T</w:t>
      </w:r>
      <w:r w:rsidDel="00000000" w:rsidR="00000000" w:rsidRPr="00000000">
        <w:rPr>
          <w:rFonts w:ascii="Proxima Nova" w:cs="Proxima Nova" w:eastAsia="Proxima Nova" w:hAnsi="Proxima Nova"/>
          <w:color w:val="000000"/>
          <w:highlight w:val="yellow"/>
          <w:rtl w:val="0"/>
        </w:rPr>
        <w:t xml:space="preserve"> +420 724 890 287</w:t>
        <w:tab/>
        <w:tab/>
        <w:tab/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ivan.dzido@lkq.cz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Proxima Nova">
    <w:embedRegular w:fontKey="{00000000-0000-0000-0000-000000000000}" r:id="rId8" w:subsetted="0"/>
    <w:embedBold w:fontKey="{00000000-0000-0000-0000-000000000000}" r:id="rId9" w:subsetted="0"/>
    <w:embedItalic w:fontKey="{00000000-0000-0000-0000-000000000000}" r:id="rId10" w:subsetted="0"/>
    <w:embedBoldItalic w:fontKey="{00000000-0000-0000-0000-000000000000}" r:id="rId11" w:subsetted="0"/>
  </w:font>
  <w:font w:name="Symbol"/>
  <w:font w:name="Merriweather">
    <w:embedRegular w:fontKey="{00000000-0000-0000-0000-000000000000}" r:id="rId12" w:subsetted="0"/>
    <w:embedBold w:fontKey="{00000000-0000-0000-0000-000000000000}" r:id="rId13" w:subsetted="0"/>
    <w:embedItalic w:fontKey="{00000000-0000-0000-0000-000000000000}" r:id="rId14" w:subsetted="0"/>
    <w:embedBoldItalic w:fontKey="{00000000-0000-0000-0000-000000000000}" r:id="rId1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-774699</wp:posOffset>
              </wp:positionH>
              <wp:positionV relativeFrom="paragraph">
                <wp:posOffset>76200</wp:posOffset>
              </wp:positionV>
              <wp:extent cx="9154160" cy="423544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773683" y="3572991"/>
                        <a:ext cx="9144635" cy="414019"/>
                      </a:xfrm>
                      <a:prstGeom prst="rect">
                        <a:avLst/>
                      </a:prstGeom>
                      <a:solidFill>
                        <a:srgbClr val="00559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-774699</wp:posOffset>
              </wp:positionH>
              <wp:positionV relativeFrom="paragraph">
                <wp:posOffset>76200</wp:posOffset>
              </wp:positionV>
              <wp:extent cx="9154160" cy="423544"/>
              <wp:effectExtent b="0" l="0" r="0" t="0"/>
              <wp:wrapNone/>
              <wp:docPr id="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54160" cy="4235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pict>
        <v:group id="Gruppieren 4" style="position:absolute;margin-left:0.0pt;margin-top:7.262497666814784E14pt;width:518.25pt;height:19.85pt;z-index:-251658239;mso-wrap-distance-left:0;mso-wrap-distance-right:0;mso-position-horizontal:absolute;mso-position-vertical:absolute;mso-position-horizontal-relative:margin;mso-position-vertical-relative:text;" coordsize="0,0" o:spid="_x0000_s2049" o:allowincell="f"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 id="Grafik 12" style="position:absolute;top:58320;width:765720;height:138960;visibility:visible" o:spid="_x0000_s2056" strokeweight="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">
            <v:imagedata cropbottom="25697f" r:id="rId1" o:title=""/>
          </v:shape>
          <v:shape id="Grafik 21" style="position:absolute;left:2224440;top:48960;width:539280;height:158760;visibility:visible" o:spid="_x0000_s2055" strokeweight="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">
            <v:imagedata cropbottom="22651f" croptop="13049f" r:id="rId2" o:title=""/>
          </v:shape>
          <v:shape id="Grafik 23" style="position:absolute;left:3588480;top:48960;width:880920;height:158040;visibility:visible" o:spid="_x0000_s2054" strokeweight="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">
            <v:imagedata cropbottom="21861f" cropleft="7973f" cropright="7957f" croptop="22325f" r:id="rId3" o:title=""/>
          </v:shape>
          <v:shape id="Grafik 24" style="position:absolute;left:2922120;top:19800;width:502200;height:208440;visibility:visible" o:spid="_x0000_s2053" strokeweight="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">
            <v:imagedata r:id="rId4" o:title=""/>
          </v:shape>
          <v:shape id="Grafik 25" style="position:absolute;left:4630320;width:250920;height:251640;visibility:visible" o:spid="_x0000_s2052" strokeweight="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">
            <v:imagedata r:id="rId5" o:title=""/>
          </v:shape>
          <v:shape id="Grafik 26" style="position:absolute;left:5041800;top:64080;width:1539360;height:121320;visibility:visible" o:spid="_x0000_s2051" strokeweight="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">
            <v:imagedata r:id="rId6" o:title=""/>
          </v:shape>
          <v:shape id="Grafik 27" style="position:absolute;left:923400;top:64800;width:1143000;height:127800;visibility:visible" o:spid="_x0000_s2050" strokeweight="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">
            <v:imagedata r:id="rId7" o:title=""/>
          </v:shape>
        </v:group>
      </w:pict>
    </w:r>
    <w:r w:rsidDel="00000000" w:rsidR="00000000" w:rsidRPr="00000000"/>
    <w:r w:rsidDel="00000000" w:rsidR="00000000" w:rsidRPr="00000000"/>
    <w:r w:rsidDel="00000000" w:rsidR="00000000" w:rsidRPr="00000000"/>
    <w:r w:rsidDel="00000000" w:rsidR="00000000" w:rsidRPr="00000000"/>
    <w:r w:rsidDel="00000000" w:rsidR="00000000" w:rsidRPr="00000000"/>
    <w:r w:rsidDel="00000000" w:rsidR="00000000" w:rsidRPr="00000000"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54835" cy="355600"/>
          <wp:effectExtent b="0" l="0" r="0" t="0"/>
          <wp:docPr id="3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4835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6663"/>
        <w:tab w:val="left" w:pos="7797"/>
        <w:tab w:val="left" w:pos="8080"/>
      </w:tabs>
      <w:spacing w:after="0" w:before="0" w:line="240" w:lineRule="auto"/>
      <w:ind w:left="0" w:right="0" w:firstLine="0"/>
      <w:jc w:val="right"/>
      <w:rPr>
        <w:rFonts w:ascii="Proxima Nova" w:cs="Proxima Nova" w:eastAsia="Proxima Nova" w:hAnsi="Proxima Nova"/>
        <w:b w:val="0"/>
        <w:i w:val="0"/>
        <w:smallCaps w:val="0"/>
        <w:strike w:val="0"/>
        <w:color w:val="bfbfb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b w:val="0"/>
        <w:i w:val="0"/>
        <w:smallCaps w:val="0"/>
        <w:strike w:val="0"/>
        <w:color w:val="bfbfbf"/>
        <w:sz w:val="28"/>
        <w:szCs w:val="28"/>
        <w:u w:val="none"/>
        <w:shd w:fill="auto" w:val="clear"/>
        <w:vertAlign w:val="baseline"/>
        <w:rtl w:val="0"/>
      </w:rPr>
      <w:t xml:space="preserve">Informacja prasowa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ED0564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 w:val="1"/>
    <w:rsid w:val="00743D61"/>
    <w:pPr>
      <w:spacing w:afterAutospacing="1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2"/>
      <w:sz w:val="48"/>
      <w:szCs w:val="48"/>
      <w:lang w:eastAsia="de-DE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qFormat w:val="1"/>
    <w:rsid w:val="00743D61"/>
    <w:rPr>
      <w:rFonts w:ascii="Times New Roman" w:cs="Times New Roman" w:eastAsia="Times New Roman" w:hAnsi="Times New Roman"/>
      <w:b w:val="1"/>
      <w:bCs w:val="1"/>
      <w:kern w:val="2"/>
      <w:sz w:val="48"/>
      <w:szCs w:val="48"/>
      <w:lang w:eastAsia="de-DE"/>
    </w:rPr>
  </w:style>
  <w:style w:type="character" w:styleId="moduletitletext" w:customStyle="1">
    <w:name w:val="moduletitletext"/>
    <w:basedOn w:val="Domylnaczcionkaakapitu"/>
    <w:qFormat w:val="1"/>
    <w:rsid w:val="00743D61"/>
  </w:style>
  <w:style w:type="character" w:styleId="moduledate" w:customStyle="1">
    <w:name w:val="moduledate"/>
    <w:basedOn w:val="Domylnaczcionkaakapitu"/>
    <w:qFormat w:val="1"/>
    <w:rsid w:val="00743D61"/>
  </w:style>
  <w:style w:type="character" w:styleId="ccbntxt" w:customStyle="1">
    <w:name w:val="ccbntxt"/>
    <w:basedOn w:val="Domylnaczcionkaakapitu"/>
    <w:qFormat w:val="1"/>
    <w:rsid w:val="00743D61"/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qFormat w:val="1"/>
    <w:rsid w:val="00743D61"/>
    <w:rPr>
      <w:rFonts w:ascii="Courier New" w:cs="Courier New" w:eastAsia="Times New Roman" w:hAnsi="Courier New"/>
      <w:sz w:val="20"/>
      <w:szCs w:val="20"/>
      <w:lang w:eastAsia="de-DE"/>
    </w:rPr>
  </w:style>
  <w:style w:type="character" w:styleId="Hipercze">
    <w:name w:val="Hyperlink"/>
    <w:basedOn w:val="Domylnaczcionkaakapitu"/>
    <w:uiPriority w:val="99"/>
    <w:unhideWhenUsed w:val="1"/>
    <w:rsid w:val="00743D6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 w:val="1"/>
    <w:rsid w:val="00743D61"/>
    <w:rPr>
      <w:b w:val="1"/>
      <w:bCs w:val="1"/>
    </w:rPr>
  </w:style>
  <w:style w:type="character" w:styleId="NagwekZnak" w:customStyle="1">
    <w:name w:val="Nagłówek Znak"/>
    <w:basedOn w:val="Domylnaczcionkaakapitu"/>
    <w:link w:val="Nagwek"/>
    <w:uiPriority w:val="99"/>
    <w:qFormat w:val="1"/>
    <w:rsid w:val="00057480"/>
  </w:style>
  <w:style w:type="character" w:styleId="StopkaZnak" w:customStyle="1">
    <w:name w:val="Stopka Znak"/>
    <w:basedOn w:val="Domylnaczcionkaakapitu"/>
    <w:link w:val="Stopka"/>
    <w:uiPriority w:val="99"/>
    <w:qFormat w:val="1"/>
    <w:rsid w:val="00057480"/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057480"/>
    <w:rPr>
      <w:rFonts w:ascii="Tahoma" w:cs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sid w:val="00825906"/>
    <w:rPr>
      <w:sz w:val="16"/>
      <w:szCs w:val="16"/>
    </w:rPr>
  </w:style>
  <w:style w:type="character" w:styleId="TekstkomentarzaZnak" w:customStyle="1">
    <w:name w:val="Tekst komentarza Znak"/>
    <w:basedOn w:val="Domylnaczcionkaakapitu"/>
    <w:link w:val="Tekstkomentarza"/>
    <w:uiPriority w:val="99"/>
    <w:qFormat w:val="1"/>
    <w:rsid w:val="0082590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825906"/>
    <w:rPr>
      <w:b w:val="1"/>
      <w:bCs w:val="1"/>
      <w:sz w:val="20"/>
      <w:szCs w:val="20"/>
    </w:rPr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qFormat w:val="1"/>
    <w:rsid w:val="00110824"/>
    <w:rPr>
      <w:color w:val="605e5c"/>
      <w:shd w:color="auto" w:fill="e1dfdd" w:val="clear"/>
    </w:rPr>
  </w:style>
  <w:style w:type="paragraph" w:styleId="Heading" w:customStyle="1">
    <w:name w:val="Heading"/>
    <w:basedOn w:val="Normalny"/>
    <w:next w:val="Tekstpodstawowy"/>
    <w:qFormat w:val="1"/>
    <w:rsid w:val="00B60F99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60F99"/>
    <w:pPr>
      <w:spacing w:after="140"/>
    </w:pPr>
  </w:style>
  <w:style w:type="paragraph" w:styleId="Lista">
    <w:name w:val="List"/>
    <w:basedOn w:val="Tekstpodstawowy"/>
    <w:rsid w:val="00B60F99"/>
    <w:rPr>
      <w:rFonts w:cs="Arial"/>
    </w:rPr>
  </w:style>
  <w:style w:type="paragraph" w:styleId="Legenda">
    <w:name w:val="caption"/>
    <w:basedOn w:val="Normalny"/>
    <w:qFormat w:val="1"/>
    <w:rsid w:val="00B60F99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 w:customStyle="1">
    <w:name w:val="Index"/>
    <w:basedOn w:val="Normalny"/>
    <w:qFormat w:val="1"/>
    <w:rsid w:val="00B60F99"/>
    <w:pPr>
      <w:suppressLineNumbers w:val="1"/>
    </w:pPr>
    <w:rPr>
      <w:rFonts w:cs="Arial"/>
    </w:rPr>
  </w:style>
  <w:style w:type="paragraph" w:styleId="NormalnyWeb">
    <w:name w:val="Normal (Web)"/>
    <w:basedOn w:val="Normalny"/>
    <w:uiPriority w:val="99"/>
    <w:unhideWhenUsed w:val="1"/>
    <w:qFormat w:val="1"/>
    <w:rsid w:val="00743D61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de-DE"/>
    </w:rPr>
  </w:style>
  <w:style w:type="paragraph" w:styleId="HTML-wstpniesformatowany">
    <w:name w:val="HTML Preformatted"/>
    <w:basedOn w:val="Normalny"/>
    <w:link w:val="HTML-wstpniesformatowanyZnak"/>
    <w:uiPriority w:val="99"/>
    <w:unhideWhenUsed w:val="1"/>
    <w:qFormat w:val="1"/>
    <w:rsid w:val="00743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de-DE"/>
    </w:rPr>
  </w:style>
  <w:style w:type="paragraph" w:styleId="HeaderandFooter" w:customStyle="1">
    <w:name w:val="Header and Footer"/>
    <w:basedOn w:val="Normalny"/>
    <w:qFormat w:val="1"/>
    <w:rsid w:val="00B60F99"/>
  </w:style>
  <w:style w:type="paragraph" w:styleId="Nagwek">
    <w:name w:val="header"/>
    <w:basedOn w:val="Normalny"/>
    <w:link w:val="NagwekZnak"/>
    <w:uiPriority w:val="99"/>
    <w:unhideWhenUsed w:val="1"/>
    <w:rsid w:val="0005748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 w:val="1"/>
    <w:rsid w:val="0005748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057480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Default" w:customStyle="1">
    <w:name w:val="Default"/>
    <w:qFormat w:val="1"/>
    <w:rsid w:val="00491E21"/>
    <w:rPr>
      <w:rFonts w:ascii="Proxima Nova" w:cs="Proxima Nova" w:eastAsia="Calibri" w:hAnsi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 w:val="1"/>
    <w:rsid w:val="00FA2171"/>
    <w:pPr>
      <w:ind w:left="720"/>
      <w:contextualSpacing w:val="1"/>
    </w:pPr>
  </w:style>
  <w:style w:type="paragraph" w:styleId="Tekstkomentarza">
    <w:name w:val="annotation text"/>
    <w:basedOn w:val="Normalny"/>
    <w:link w:val="TekstkomentarzaZnak"/>
    <w:uiPriority w:val="99"/>
    <w:unhideWhenUsed w:val="1"/>
    <w:qFormat w:val="1"/>
    <w:rsid w:val="0082590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qFormat w:val="1"/>
    <w:rsid w:val="00825906"/>
    <w:rPr>
      <w:b w:val="1"/>
      <w:bCs w:val="1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DB3DD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numbering" Target="numbering.xml"/><Relationship Id="rId10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styles" Target="styles.xml"/><Relationship Id="rId9" Type="http://schemas.openxmlformats.org/officeDocument/2006/relationships/settings" Target="settings.xm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8" Type="http://schemas.openxmlformats.org/officeDocument/2006/relationships/theme" Target="theme/theme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ProximaNova-boldItalic.ttf"/><Relationship Id="rId10" Type="http://schemas.openxmlformats.org/officeDocument/2006/relationships/font" Target="fonts/ProximaNova-italic.ttf"/><Relationship Id="rId13" Type="http://schemas.openxmlformats.org/officeDocument/2006/relationships/font" Target="fonts/Merriweather-bold.ttf"/><Relationship Id="rId12" Type="http://schemas.openxmlformats.org/officeDocument/2006/relationships/font" Target="fonts/Merriweather-regular.ttf"/><Relationship Id="rId9" Type="http://schemas.openxmlformats.org/officeDocument/2006/relationships/font" Target="fonts/ProximaNova-bold.ttf"/><Relationship Id="rId15" Type="http://schemas.openxmlformats.org/officeDocument/2006/relationships/font" Target="fonts/Merriweather-boldItalic.ttf"/><Relationship Id="rId14" Type="http://schemas.openxmlformats.org/officeDocument/2006/relationships/font" Target="fonts/Merriweather-italic.ttf"/><Relationship Id="rId8" Type="http://schemas.openxmlformats.org/officeDocument/2006/relationships/font" Target="fonts/ProximaNova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8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1ZVq1OTxQaEKR5XrL6BEgM/yLA==">AMUW2mWjM1w3AwYnKXoeWPE0uDNtMllizpKTPoLRVeLp96n/brJUw0k8dsaVD17lXfUr5dcLI7zDjF4Rs8ugVD+ijQEnQAx2DpqpqPo0M2TFo247lf6R903QjLu17omY3D+vfEM/fPZe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2022-04-21T11:35:00Z</dcterms:created>
  <dc:creator>WeberGu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0x0101008764FCDF6E1DF148B8DCF5CDA646467C</vt:lpwstr>
  </property>
</Properties>
</file>